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B" w:rsidRPr="009853A3" w:rsidRDefault="009853A3" w:rsidP="003E5CB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53A3">
        <w:rPr>
          <w:rFonts w:ascii="Arial" w:eastAsia="Times New Roman" w:hAnsi="Arial" w:cs="Arial"/>
          <w:b/>
          <w:sz w:val="32"/>
          <w:szCs w:val="32"/>
          <w:lang w:eastAsia="ru-RU"/>
        </w:rPr>
        <w:t>23.04.2021 г. № 67</w:t>
      </w:r>
    </w:p>
    <w:p w:rsidR="003E5CBB" w:rsidRPr="003E5CBB" w:rsidRDefault="003E5CBB" w:rsidP="003E5CB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CB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E5CBB" w:rsidRPr="003E5CBB" w:rsidRDefault="003E5CBB" w:rsidP="003E5CB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CB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E5CBB" w:rsidRPr="003E5CBB" w:rsidRDefault="003E5CBB" w:rsidP="003E5CB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CB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E5CBB" w:rsidRPr="003E5CBB" w:rsidRDefault="003E5CBB" w:rsidP="003E5CB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CBB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3E5CBB" w:rsidRPr="003E5CBB" w:rsidRDefault="003E5CBB" w:rsidP="003E5C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CB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E5CBB" w:rsidRPr="003E5CBB" w:rsidRDefault="003E5CBB" w:rsidP="003E5C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CBB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</w:t>
      </w:r>
    </w:p>
    <w:p w:rsidR="003E5CBB" w:rsidRDefault="003E5CBB" w:rsidP="003E5C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CB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E5CBB" w:rsidRDefault="003E5CBB" w:rsidP="003E5C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E5CBB" w:rsidRPr="003E5CBB" w:rsidRDefault="003E5CBB" w:rsidP="003E5C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УСТАВ ВЕРХНЕГУТАРСКОГО МУНИЦИПАЛЬНОГО ОБРАЗОВАНИЯ</w:t>
      </w:r>
    </w:p>
    <w:p w:rsidR="003E5CBB" w:rsidRPr="003E5CBB" w:rsidRDefault="003E5CBB" w:rsidP="003E5C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BB" w:rsidRPr="003E5CBB" w:rsidRDefault="003E5CBB" w:rsidP="003E5C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целях приведения Устава Верхнегутарского муниципального образования 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</w:t>
      </w:r>
      <w:proofErr w:type="gramStart"/>
      <w:r w:rsidRPr="003E5CBB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</w:t>
      </w:r>
      <w:proofErr w:type="gramEnd"/>
      <w:r w:rsidRPr="003E5CB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24.04.2020 №148-ФЗ, от 23.05.2020 №154-ФЗ, от 13.07.2020 №194-ФЗ, от 20.07.2020 №241-ФЗ, от 09.11.2020 №363-ФЗ, от 09.11.2020 №370-ФЗ, </w:t>
      </w:r>
      <w:proofErr w:type="gramStart"/>
      <w:r w:rsidRPr="003E5CBB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</w:t>
      </w:r>
      <w:proofErr w:type="gramEnd"/>
      <w:r w:rsidRPr="003E5CB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22.12.2020 №458-ФЗ, </w:t>
      </w:r>
      <w:proofErr w:type="gramStart"/>
      <w:r w:rsidRPr="003E5CBB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</w:t>
      </w:r>
      <w:proofErr w:type="gramEnd"/>
      <w:r w:rsidRPr="003E5CB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29.12.2020 №464-ФЗ, </w:t>
      </w: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3E5CB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уководствуясь статьями 33, 45, 48 Устава Верхнегутарского муниципального образования, Дума Верхнегутарского муниципального образования </w:t>
      </w:r>
    </w:p>
    <w:p w:rsidR="003E5CBB" w:rsidRPr="003E5CBB" w:rsidRDefault="003E5CBB" w:rsidP="003E5CB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5CBB">
        <w:rPr>
          <w:rFonts w:ascii="Arial" w:eastAsia="Times New Roman" w:hAnsi="Arial" w:cs="Arial"/>
          <w:b/>
          <w:sz w:val="28"/>
          <w:szCs w:val="28"/>
          <w:lang w:eastAsia="ru-RU"/>
        </w:rPr>
        <w:t>РЕШИЛА:</w:t>
      </w:r>
      <w:bookmarkStart w:id="0" w:name="_GoBack"/>
      <w:bookmarkEnd w:id="0"/>
    </w:p>
    <w:p w:rsidR="003E5CBB" w:rsidRPr="003E5CBB" w:rsidRDefault="003E5CBB" w:rsidP="003E5CBB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Внести в Устав Верхнегутарского муниципального </w:t>
      </w: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образования</w:t>
      </w:r>
      <w:r w:rsidRPr="003E5C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следующие изменения и дополнения</w:t>
      </w: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: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1.1 Статья 1. Наименование, статус и территория муниципального образования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1.1.1 статью изложить в следующей редакции: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«Наименование муниципального образования – Верхнегутарское сельское поселение Нижнеудинского муниципального района Иркутской области. Сокращенное наименование – Верхнегутарское сельское поселение. Сокращенное наименование используется в наименовании органов местного самоуправления, выборных и иных должностных лиц местного самоуправления. Понятия «Поселение», «муниципальное образование», «Верхнегутарское сельское поселение» далее по тексту настоящего Устава используются в равной мере для обозначения Верхнегутарского муниципального образования.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Границы Верхнегутарского муниципального образования и статус его как сельского поселения установлены Законом Иркутской области от 16.12.2004 года № 86-оз «О статусе и границах муниципальных образований Нижнеудинского района Иркутской области».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1.2 Статья 3. Муниципальные правовые акты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1.2.1 часть 3 изложить в следующей редакции: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«3.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Муниципальные правовые акты представительных органов местного самоуправления, предусматривающие установление, изменение или отмену местных налогов и сборов, вступают в силу в соответствии с Налоговым кодексом Российской Федерации.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«Вестник Верхнегутарского сельского поселения».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Если значительный по объему муниципальный правовой акт или соглашение, заключенное между органами местного самоуправления по техническим причинам не могут быть опубликованы в одном номере периодического печатного издания, то такой акт или соглашение, заключенное между органами местного самоуправления в соответствии с законодательством публикуется в нескольких номерах 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соглашения, заключенного между органами местного самоуправления, является день выхода номера периодического печатного издания, в котором завершена публикация его полного текста.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 случае</w:t>
      </w:r>
      <w:proofErr w:type="gramStart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если при опубликовании (обнародовании) муниципального правового акта или соглашения, заключенного между органами местного самоуправления, были допущены ошибки, опечатки или иные неточности в сравнении с подлинником муниципального правового акта или соглашения, заключенного между органами местного самоуправления,,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акт, об исправлении неточности и подлинная редакция соответствующих положений.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Исправление ошибок, опечаток или иных неточностей в подлинниках муниципальных правовых актов или соглашений, заключенных между органами местного самоуправления, осуществляется путем внесения соответствующих изменений в муниципальный правовой акт или соглашение, заключенное между органами местного самоуправления, в котором имеются неточности.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Иной порядок опубликования (обнародования) муниципальных правовых актов или соглашений, заключенных между органами местного самоуправления, может осуществляться в случаях, предусмотренных законодательством»;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1.3 Статья 5. Вопросы местного значения Поселения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1.3.1 пункт 5 части 1 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движения»;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1.3.2 пункт 7 части 1 исключить;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1.3.3 пункт 18 части 1 изложить в следующей редакции: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1.3.4 пункт 20 части 1 изложить в следующей редакции: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gramStart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1.4 Статья 6. Права органов местного самоуправления Поселения на решение вопросов, не отнесённых к вопросам местного значения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1.4.1 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1.4.2 часть 1 дополнить пунктом 16 следующего содержания:</w:t>
      </w:r>
    </w:p>
    <w:p w:rsidR="003E5CBB" w:rsidRPr="003E5CBB" w:rsidRDefault="003E5CBB" w:rsidP="003E5C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№  2300-1 «О защите прав потребителей»;</w:t>
      </w:r>
    </w:p>
    <w:p w:rsidR="003E5CBB" w:rsidRPr="003E5CBB" w:rsidRDefault="003E5CBB" w:rsidP="003E5CBB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1.</w:t>
      </w:r>
      <w:r w:rsidRPr="003E5CBB">
        <w:rPr>
          <w:rFonts w:ascii="Arial" w:eastAsia="Times New Roman" w:hAnsi="Arial" w:cs="Arial"/>
          <w:snapToGrid w:val="0"/>
          <w:color w:val="000000"/>
          <w:spacing w:val="-1"/>
          <w:sz w:val="24"/>
          <w:szCs w:val="24"/>
          <w:lang w:eastAsia="ru-RU"/>
        </w:rPr>
        <w:t>4.3  часть 1 статьи 6 дополнить пунктом 17 следующего содержания:</w:t>
      </w:r>
    </w:p>
    <w:p w:rsidR="003E5CBB" w:rsidRPr="003E5CBB" w:rsidRDefault="003E5CBB" w:rsidP="003E5CBB">
      <w:pPr>
        <w:spacing w:after="0" w:line="240" w:lineRule="auto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color w:val="000000"/>
          <w:spacing w:val="-1"/>
          <w:sz w:val="24"/>
          <w:szCs w:val="24"/>
          <w:lang w:eastAsia="ru-RU"/>
        </w:rPr>
        <w:t>«17) предоставление</w:t>
      </w: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3E5CBB" w:rsidRPr="003E5CBB" w:rsidRDefault="003E5CBB" w:rsidP="003E5CBB">
      <w:pPr>
        <w:spacing w:after="0" w:line="240" w:lineRule="auto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           1.4.4   часть 1 статьи 6 дополнить пунктом 18 следующего содержания:</w:t>
      </w:r>
    </w:p>
    <w:p w:rsidR="003E5CBB" w:rsidRPr="003E5CBB" w:rsidRDefault="003E5CBB" w:rsidP="003E5CBB">
      <w:pPr>
        <w:spacing w:after="0" w:line="240" w:lineRule="auto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«18) осуществление мероприятий, по оказанию помощи лицам, находящимся в состоянии алкогольного, наркотического или иного токсического опьянения»;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1.5 Статья 7. Полномочия органов местного самоуправления Поселения по решению вопросов местного значения Поселения</w:t>
      </w:r>
    </w:p>
    <w:p w:rsidR="003E5CBB" w:rsidRPr="003E5CBB" w:rsidRDefault="003E5CBB" w:rsidP="003E5CBB">
      <w:pPr>
        <w:spacing w:after="0" w:line="240" w:lineRule="auto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         1.5.1 пункт 5 части 1 исключить;</w:t>
      </w:r>
    </w:p>
    <w:p w:rsidR="003E5CBB" w:rsidRPr="003E5CBB" w:rsidRDefault="003E5CBB" w:rsidP="003E5CBB">
      <w:pPr>
        <w:spacing w:after="0" w:line="240" w:lineRule="auto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1.6 Статья 13. Публичные слушания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1.6.1 часть 4 изложить в следующей редакции: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proofErr w:type="gramStart"/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«Порядок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</w:t>
      </w: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lastRenderedPageBreak/>
        <w:t>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решений»;</w:t>
      </w:r>
      <w:proofErr w:type="gramEnd"/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1.6.2 в части 4.1 слова «общественные обсуждения или» исключить;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1.7. В части 1 статьи 14 Устава: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после слов «и 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1.8  Статью 14 дополнить частью 2.1 следующего содержания: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Думы»;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 1.9. Часть 2 статьи 16 дополнить абзацем следующего содержания: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возраста»;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  1.10 Часть 3 статьи 16 дополнить пунктом 3 следующего содержания: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проекта»;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 1.11 Глава 2. Формы, порядок и гарантии участия населения в решении вопросов местного значения.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 1.11.1 Главу дополнить статьей 18.1 следующего содержания: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«Статья  18.1   Староста сельского населенного пункта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E5CBB" w:rsidRPr="003E5CBB" w:rsidRDefault="003E5CBB" w:rsidP="003E5CBB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2.  Староста сельского населенного пункта назначается Решением Думы Верхнегутарского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3E5CBB" w:rsidRPr="003E5CBB" w:rsidRDefault="003E5CBB" w:rsidP="003E5CBB">
      <w:pPr>
        <w:spacing w:after="0" w:line="240" w:lineRule="auto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3. Полномочия, гарантии деятельности и иные вопросы статуса старосты сельского населенного пункта устанавливаются нормативным правовым актом Думы Верхнегутарского муниципального образования в соответствии с Законом Иркутской области».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 CYR" w:eastAsia="Times New Roman" w:hAnsi="Arial CYR" w:cs="Arial"/>
          <w:spacing w:val="-1"/>
          <w:sz w:val="24"/>
          <w:szCs w:val="24"/>
          <w:lang w:eastAsia="ru-RU"/>
        </w:rPr>
      </w:pPr>
      <w:r w:rsidRPr="003E5CBB">
        <w:rPr>
          <w:rFonts w:ascii="Arial CYR" w:eastAsia="Times New Roman" w:hAnsi="Arial CYR" w:cs="Arial"/>
          <w:spacing w:val="-1"/>
          <w:sz w:val="24"/>
          <w:szCs w:val="24"/>
          <w:lang w:eastAsia="ru-RU"/>
        </w:rPr>
        <w:t>3. Полномочия, гарантии деятельности и иные вопросы статуса старосты сельского населенного пункта устанавливаются нормативным правовым актом Думы Верхнегутарского муниципального образования в соответствии с Законом Иркутской области»;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 CYR" w:eastAsia="Times New Roman" w:hAnsi="Arial CYR" w:cs="Arial"/>
          <w:spacing w:val="-1"/>
          <w:sz w:val="24"/>
          <w:szCs w:val="24"/>
          <w:lang w:eastAsia="ru-RU"/>
        </w:rPr>
      </w:pPr>
      <w:r w:rsidRPr="003E5CBB">
        <w:rPr>
          <w:rFonts w:ascii="Arial CYR" w:eastAsia="Times New Roman" w:hAnsi="Arial CYR" w:cs="Arial"/>
          <w:spacing w:val="-1"/>
          <w:sz w:val="24"/>
          <w:szCs w:val="24"/>
          <w:lang w:eastAsia="ru-RU"/>
        </w:rPr>
        <w:t>1.12. Статья 25. Правовые акты Думы Поселения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 CYR" w:eastAsia="Times New Roman" w:hAnsi="Arial CYR" w:cs="Arial"/>
          <w:spacing w:val="-1"/>
          <w:sz w:val="24"/>
          <w:szCs w:val="24"/>
          <w:lang w:eastAsia="ru-RU"/>
        </w:rPr>
      </w:pPr>
      <w:r w:rsidRPr="003E5CBB">
        <w:rPr>
          <w:rFonts w:ascii="Arial CYR" w:eastAsia="Times New Roman" w:hAnsi="Arial CYR" w:cs="Arial"/>
          <w:spacing w:val="-1"/>
          <w:sz w:val="24"/>
          <w:szCs w:val="24"/>
          <w:lang w:eastAsia="ru-RU"/>
        </w:rPr>
        <w:t>1.12.1 часть 6 исключить.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 CYR" w:eastAsia="Times New Roman" w:hAnsi="Arial CYR" w:cs="Arial"/>
          <w:spacing w:val="-1"/>
          <w:sz w:val="24"/>
          <w:szCs w:val="24"/>
          <w:lang w:eastAsia="ru-RU"/>
        </w:rPr>
      </w:pPr>
      <w:r w:rsidRPr="003E5CBB">
        <w:rPr>
          <w:rFonts w:ascii="Arial CYR" w:eastAsia="Times New Roman" w:hAnsi="Arial CYR" w:cs="Arial"/>
          <w:spacing w:val="-1"/>
          <w:sz w:val="24"/>
          <w:szCs w:val="24"/>
          <w:lang w:eastAsia="ru-RU"/>
        </w:rPr>
        <w:t>1.13 статью 27  дополнить частью 4.2 следующего содержания:</w:t>
      </w:r>
    </w:p>
    <w:p w:rsidR="003E5CBB" w:rsidRPr="003E5CBB" w:rsidRDefault="003E5CBB" w:rsidP="003E5CBB">
      <w:pPr>
        <w:spacing w:after="0" w:line="240" w:lineRule="auto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«4.2 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</w:t>
      </w:r>
      <w:r w:rsidRPr="003E5CBB">
        <w:rPr>
          <w:rFonts w:ascii="Arial" w:eastAsia="Times New Roman" w:hAnsi="Arial" w:cs="Arial"/>
          <w:snapToGrid w:val="0"/>
          <w:color w:val="FF0000"/>
          <w:spacing w:val="-1"/>
          <w:sz w:val="24"/>
          <w:szCs w:val="24"/>
          <w:lang w:eastAsia="ru-RU"/>
        </w:rPr>
        <w:t>2</w:t>
      </w:r>
      <w:r w:rsidRPr="003E5CBB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рабочих дня в месяц»;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z w:val="24"/>
          <w:szCs w:val="24"/>
          <w:lang w:eastAsia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Верхнегутарского муниципального образования на государственную регистрацию в Управление </w:t>
      </w:r>
      <w:r w:rsidRPr="003E5C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Министерства юстиции Российской Федерации по Иркутской области в течение 15 дней.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E5CBB">
        <w:rPr>
          <w:rFonts w:ascii="Arial" w:eastAsia="Times New Roman" w:hAnsi="Arial" w:cs="Arial"/>
          <w:sz w:val="24"/>
          <w:szCs w:val="24"/>
          <w:lang w:eastAsia="ru-RU"/>
        </w:rPr>
        <w:t>Главе Верхнегутарского муниципального образования опубликовать муниципальный правовой акт Верхнегутарского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Верхнегутарского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«Вестнике Верхнегутарского сельского поселения».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BB" w:rsidRPr="003E5CBB" w:rsidRDefault="003E5CBB" w:rsidP="003E5CBB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BB" w:rsidRPr="003E5CBB" w:rsidRDefault="003E5CBB" w:rsidP="003E5CBB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z w:val="24"/>
          <w:szCs w:val="24"/>
          <w:lang w:eastAsia="ru-RU"/>
        </w:rPr>
        <w:t>Глава Верхнегутарского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CBB">
        <w:rPr>
          <w:rFonts w:ascii="Arial" w:eastAsia="Times New Roman" w:hAnsi="Arial" w:cs="Arial"/>
          <w:sz w:val="24"/>
          <w:szCs w:val="24"/>
          <w:lang w:eastAsia="ru-RU"/>
        </w:rPr>
        <w:t xml:space="preserve">В.А. Ходогонов         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E5CB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</w:t>
      </w:r>
    </w:p>
    <w:p w:rsidR="003E5CBB" w:rsidRPr="003E5CBB" w:rsidRDefault="003E5CBB" w:rsidP="003E5CBB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BB" w:rsidRPr="003E5CBB" w:rsidRDefault="003E5CBB" w:rsidP="003E5C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BB" w:rsidRPr="003E5CBB" w:rsidRDefault="003E5CBB" w:rsidP="003E5CBB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3E5CBB" w:rsidRPr="003E5CBB" w:rsidRDefault="003E5CBB" w:rsidP="003E5C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CBB" w:rsidRPr="003E5CBB" w:rsidRDefault="003E5CBB" w:rsidP="003E5CB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80" w:rsidRPr="003E5CBB" w:rsidRDefault="00DC0B80"/>
    <w:sectPr w:rsidR="00DC0B80" w:rsidRPr="003E5CBB" w:rsidSect="001A13D8"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B"/>
    <w:rsid w:val="003E5CBB"/>
    <w:rsid w:val="009853A3"/>
    <w:rsid w:val="00B34A77"/>
    <w:rsid w:val="00D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2021-04-05T08:20:00Z</dcterms:created>
  <dcterms:modified xsi:type="dcterms:W3CDTF">2021-12-14T01:03:00Z</dcterms:modified>
</cp:coreProperties>
</file>